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AD" w:rsidRDefault="00EB30AD" w:rsidP="00EB30AD">
      <w:pPr>
        <w:pStyle w:val="Sub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BE98B" wp14:editId="2D4B5AD4">
                <wp:simplePos x="0" y="0"/>
                <wp:positionH relativeFrom="column">
                  <wp:posOffset>1000125</wp:posOffset>
                </wp:positionH>
                <wp:positionV relativeFrom="paragraph">
                  <wp:posOffset>153035</wp:posOffset>
                </wp:positionV>
                <wp:extent cx="4432300" cy="1038225"/>
                <wp:effectExtent l="0" t="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0AD" w:rsidRDefault="00EB30AD" w:rsidP="00EB30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B23E8">
                              <w:rPr>
                                <w:b/>
                                <w:sz w:val="40"/>
                              </w:rPr>
                              <w:t>Westchester Academy of Medicine</w:t>
                            </w:r>
                          </w:p>
                          <w:p w:rsidR="00EB30AD" w:rsidRPr="00B12F48" w:rsidRDefault="00B12F48" w:rsidP="00EB30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Practice Gaps, Educational Needs</w:t>
                            </w:r>
                            <w:r w:rsidRPr="00B12F4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and Learning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12.05pt;width:34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XJggIAABA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" stroked="f">
                <v:textbox>
                  <w:txbxContent>
                    <w:p w:rsidR="00EB30AD" w:rsidRDefault="00EB30AD" w:rsidP="00EB30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B23E8">
                        <w:rPr>
                          <w:b/>
                          <w:sz w:val="40"/>
                        </w:rPr>
                        <w:t>Westchester Academy of Medicine</w:t>
                      </w:r>
                    </w:p>
                    <w:p w:rsidR="00EB30AD" w:rsidRPr="00B12F48" w:rsidRDefault="00B12F48" w:rsidP="00EB30AD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Practice Gaps, Educational Needs</w:t>
                      </w:r>
                      <w:r w:rsidRPr="00B12F48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and Learning Objectives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E84EFB" wp14:editId="712AD676">
            <wp:extent cx="972140" cy="917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40" cy="9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AD" w:rsidRDefault="00EB30AD" w:rsidP="00EB30AD">
      <w:pPr>
        <w:pStyle w:val="Subtitle"/>
        <w:jc w:val="left"/>
        <w:rPr>
          <w:rFonts w:ascii="Palatino" w:hAnsi="Palatino"/>
          <w:sz w:val="24"/>
        </w:rPr>
      </w:pPr>
    </w:p>
    <w:p w:rsidR="00EB30AD" w:rsidRDefault="00EB30AD" w:rsidP="006740E2"/>
    <w:p w:rsidR="00B12F48" w:rsidRDefault="00B12F48" w:rsidP="006740E2">
      <w:r>
        <w:t>The Accreditation Council for Continuing Medical Education (ACCME) requires that all educational activities be based on an identified gap in practice.  A gap represents the difference between a Bes</w:t>
      </w:r>
      <w:r w:rsidR="003F3A43">
        <w:t>t Practice and Current Practice</w:t>
      </w:r>
      <w:r>
        <w:t xml:space="preserve"> </w:t>
      </w:r>
      <w:r w:rsidR="003F3A43">
        <w:t xml:space="preserve">(the difference between a desirable or achievable state of practice and what currently exits).  </w:t>
      </w:r>
      <w:r w:rsidR="00505038">
        <w:t>This is the method by which the learning objectives will be defined and measured.   When you develop an educational activity for CME credit, you should look to describe:</w:t>
      </w:r>
    </w:p>
    <w:p w:rsidR="00505038" w:rsidRDefault="00505038" w:rsidP="006740E2"/>
    <w:p w:rsidR="00505038" w:rsidRDefault="00505038" w:rsidP="00362EFA">
      <w:pPr>
        <w:pStyle w:val="ListParagraph"/>
        <w:numPr>
          <w:ilvl w:val="0"/>
          <w:numId w:val="2"/>
        </w:numPr>
      </w:pPr>
      <w:r>
        <w:t>The overall reason for developing your activity, which should be presented as a professional gap that your activity will seek to close</w:t>
      </w:r>
    </w:p>
    <w:p w:rsidR="00505038" w:rsidRDefault="00505038" w:rsidP="00362EFA">
      <w:pPr>
        <w:pStyle w:val="ListParagraph"/>
        <w:numPr>
          <w:ilvl w:val="0"/>
          <w:numId w:val="2"/>
        </w:numPr>
      </w:pPr>
      <w:r>
        <w:t>The educational needs that underlie the gap, which will deter</w:t>
      </w:r>
      <w:r w:rsidR="00BB41A7">
        <w:t>mine the components</w:t>
      </w:r>
      <w:r>
        <w:t xml:space="preserve"> of your activity</w:t>
      </w:r>
    </w:p>
    <w:p w:rsidR="00505038" w:rsidRDefault="00505038" w:rsidP="00362EFA">
      <w:pPr>
        <w:pStyle w:val="ListParagraph"/>
        <w:numPr>
          <w:ilvl w:val="0"/>
          <w:numId w:val="2"/>
        </w:numPr>
      </w:pPr>
      <w:r>
        <w:t xml:space="preserve">The changes you expect to see in the learners’ knowledge/competence, performance or patient outcomes as a result of your activity (the learning objectives).  </w:t>
      </w:r>
    </w:p>
    <w:p w:rsidR="00362EFA" w:rsidRDefault="00362EFA" w:rsidP="00362EFA"/>
    <w:p w:rsidR="00362EFA" w:rsidRDefault="00362EFA" w:rsidP="00362EFA">
      <w:pPr>
        <w:jc w:val="center"/>
        <w:rPr>
          <w:b/>
          <w:sz w:val="28"/>
          <w:szCs w:val="28"/>
          <w:u w:val="single"/>
        </w:rPr>
      </w:pPr>
      <w:r w:rsidRPr="00362EFA">
        <w:rPr>
          <w:b/>
          <w:sz w:val="28"/>
          <w:szCs w:val="28"/>
          <w:u w:val="single"/>
        </w:rPr>
        <w:t xml:space="preserve">Steps In Creating </w:t>
      </w:r>
      <w:r w:rsidR="001A3277">
        <w:rPr>
          <w:b/>
          <w:sz w:val="28"/>
          <w:szCs w:val="28"/>
          <w:u w:val="single"/>
        </w:rPr>
        <w:t>Your Gap</w:t>
      </w:r>
    </w:p>
    <w:p w:rsidR="00362EFA" w:rsidRPr="00362EFA" w:rsidRDefault="00362EFA" w:rsidP="00362EFA">
      <w:pPr>
        <w:rPr>
          <w:b/>
          <w:sz w:val="28"/>
          <w:szCs w:val="28"/>
          <w:u w:val="single"/>
        </w:rPr>
      </w:pPr>
    </w:p>
    <w:p w:rsidR="00362EFA" w:rsidRDefault="00362EFA" w:rsidP="00362EFA">
      <w:pPr>
        <w:pStyle w:val="ListParagraph"/>
        <w:numPr>
          <w:ilvl w:val="0"/>
          <w:numId w:val="3"/>
        </w:numPr>
      </w:pPr>
      <w:r w:rsidRPr="00362EFA">
        <w:rPr>
          <w:b/>
        </w:rPr>
        <w:t>State the best practice</w:t>
      </w:r>
      <w:r>
        <w:t xml:space="preserve"> A best practice may be from a national guideline or consensus statement from a credible organization, peer-reviewed medical literature, or from the considered opinion of the expert-planner in the case when no published guideline exists.  This becomes the end-goal for the activity.</w:t>
      </w:r>
    </w:p>
    <w:p w:rsidR="00362EFA" w:rsidRDefault="00362EFA" w:rsidP="00362EFA">
      <w:pPr>
        <w:pStyle w:val="ListParagraph"/>
        <w:numPr>
          <w:ilvl w:val="0"/>
          <w:numId w:val="3"/>
        </w:numPr>
      </w:pPr>
      <w:r w:rsidRPr="00362EFA">
        <w:rPr>
          <w:b/>
        </w:rPr>
        <w:t>State the source used</w:t>
      </w:r>
      <w:r>
        <w:t xml:space="preserve"> that provided you with the best practice (i.e.</w:t>
      </w:r>
      <w:r w:rsidR="008A477D">
        <w:t xml:space="preserve"> article from peer reviewed journal, consensus statement or clinical guideline, etc.)</w:t>
      </w:r>
    </w:p>
    <w:p w:rsidR="008A477D" w:rsidRDefault="008A477D" w:rsidP="00362EFA">
      <w:pPr>
        <w:pStyle w:val="ListParagraph"/>
        <w:numPr>
          <w:ilvl w:val="0"/>
          <w:numId w:val="3"/>
        </w:numPr>
      </w:pPr>
      <w:r>
        <w:rPr>
          <w:b/>
        </w:rPr>
        <w:t xml:space="preserve">State the current practice </w:t>
      </w:r>
      <w:r>
        <w:t>of group of leaners to which your educational activity is targeted.  You can determine this based on interviews (formal or informal) with members of the target audience, a published article that reports on findings from learners, a questionnaire or survey.</w:t>
      </w:r>
    </w:p>
    <w:p w:rsidR="008A477D" w:rsidRDefault="008A477D" w:rsidP="00362EFA">
      <w:pPr>
        <w:pStyle w:val="ListParagraph"/>
        <w:numPr>
          <w:ilvl w:val="0"/>
          <w:numId w:val="3"/>
        </w:numPr>
      </w:pPr>
      <w:r>
        <w:rPr>
          <w:b/>
        </w:rPr>
        <w:t xml:space="preserve">State the source used </w:t>
      </w:r>
      <w:r>
        <w:t>that provided you with current practice</w:t>
      </w:r>
    </w:p>
    <w:p w:rsidR="00BB41A7" w:rsidRDefault="00275EFB" w:rsidP="00BB41A7">
      <w:pPr>
        <w:pStyle w:val="ListParagraph"/>
        <w:numPr>
          <w:ilvl w:val="0"/>
          <w:numId w:val="3"/>
        </w:numPr>
      </w:pPr>
      <w:r>
        <w:rPr>
          <w:b/>
        </w:rPr>
        <w:t>State the gap</w:t>
      </w:r>
      <w:r w:rsidR="008A477D">
        <w:t xml:space="preserve"> to move your target audience from current practice to best practice.</w:t>
      </w:r>
      <w:r w:rsidR="00347AEA">
        <w:t xml:space="preserve"> The gap should inform you of the type of results that are appropriate for the </w:t>
      </w:r>
      <w:r w:rsidR="00BB41A7">
        <w:t>activity.</w:t>
      </w:r>
    </w:p>
    <w:p w:rsidR="003F3A43" w:rsidRDefault="003F3A43" w:rsidP="003F3A43"/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5"/>
      </w:tblGrid>
      <w:tr w:rsidR="00043AA2" w:rsidTr="00043AA2">
        <w:trPr>
          <w:trHeight w:val="3120"/>
        </w:trPr>
        <w:tc>
          <w:tcPr>
            <w:tcW w:w="11085" w:type="dxa"/>
          </w:tcPr>
          <w:p w:rsidR="00043AA2" w:rsidRDefault="00043AA2" w:rsidP="00043AA2">
            <w:pPr>
              <w:ind w:left="210"/>
              <w:rPr>
                <w:b/>
                <w:u w:val="single"/>
              </w:rPr>
            </w:pPr>
          </w:p>
          <w:p w:rsidR="00043AA2" w:rsidRPr="00BB41A7" w:rsidRDefault="00043AA2" w:rsidP="00043AA2">
            <w:pPr>
              <w:ind w:left="210"/>
              <w:rPr>
                <w:b/>
                <w:u w:val="single"/>
              </w:rPr>
            </w:pPr>
            <w:r>
              <w:rPr>
                <w:b/>
                <w:u w:val="single"/>
              </w:rPr>
              <w:t>Definitions</w:t>
            </w:r>
          </w:p>
          <w:p w:rsidR="00043AA2" w:rsidRDefault="00043AA2" w:rsidP="00043AA2">
            <w:pPr>
              <w:ind w:left="1650" w:hanging="1440"/>
            </w:pPr>
            <w:r w:rsidRPr="00BB41A7">
              <w:rPr>
                <w:b/>
              </w:rPr>
              <w:t>Competence</w:t>
            </w:r>
            <w:r>
              <w:t>:</w:t>
            </w:r>
            <w:r>
              <w:tab/>
              <w:t>Ability to apply knowledge to a practice-based situation, the degree to which participants show in an educational setting how to do what the CME activity intended them to be able to do</w:t>
            </w:r>
          </w:p>
          <w:p w:rsidR="00043AA2" w:rsidRDefault="00043AA2" w:rsidP="00043AA2">
            <w:pPr>
              <w:ind w:left="1650" w:hanging="1440"/>
            </w:pPr>
          </w:p>
          <w:p w:rsidR="00043AA2" w:rsidRDefault="00043AA2" w:rsidP="00043AA2">
            <w:pPr>
              <w:ind w:left="1650" w:hanging="1440"/>
            </w:pPr>
            <w:r>
              <w:rPr>
                <w:b/>
              </w:rPr>
              <w:t>Performance</w:t>
            </w:r>
            <w:r w:rsidRPr="00BB41A7">
              <w:t>:</w:t>
            </w:r>
            <w:r>
              <w:t xml:space="preserve"> </w:t>
            </w:r>
            <w:r>
              <w:tab/>
              <w:t>Skills, ability and strategies, learned during the activity, that is subsequently implemented in practice; the degree to which participants have implemented changes to their professional practice that resulted (in whole or in part) from the CME activity</w:t>
            </w:r>
          </w:p>
          <w:p w:rsidR="00043AA2" w:rsidRDefault="00043AA2" w:rsidP="00043AA2">
            <w:pPr>
              <w:ind w:left="1650" w:hanging="1440"/>
              <w:rPr>
                <w:b/>
              </w:rPr>
            </w:pPr>
            <w:r>
              <w:rPr>
                <w:b/>
              </w:rPr>
              <w:t xml:space="preserve">Patient </w:t>
            </w:r>
          </w:p>
          <w:p w:rsidR="00043AA2" w:rsidRPr="001A3277" w:rsidRDefault="00043AA2" w:rsidP="00043AA2">
            <w:pPr>
              <w:ind w:left="1650" w:hanging="1440"/>
            </w:pPr>
            <w:r>
              <w:rPr>
                <w:b/>
              </w:rPr>
              <w:t xml:space="preserve">Outcomes: </w:t>
            </w:r>
            <w:r>
              <w:rPr>
                <w:b/>
              </w:rPr>
              <w:tab/>
            </w:r>
            <w:r>
              <w:t>A measured change in patient outcomes associated with the implementation of the knowledge and skills learned during the activity; the degree to which the health status of patients improves due to changes in the practice behavior of participants.</w:t>
            </w:r>
          </w:p>
          <w:p w:rsidR="00043AA2" w:rsidRDefault="00043AA2" w:rsidP="00043AA2">
            <w:pPr>
              <w:ind w:left="1650" w:hanging="1440"/>
              <w:rPr>
                <w:b/>
                <w:u w:val="single"/>
              </w:rPr>
            </w:pPr>
            <w:r>
              <w:tab/>
            </w:r>
          </w:p>
        </w:tc>
      </w:tr>
    </w:tbl>
    <w:p w:rsidR="00B12F48" w:rsidRDefault="001A3277" w:rsidP="006740E2">
      <w:r>
        <w:t xml:space="preserve">  </w:t>
      </w:r>
    </w:p>
    <w:p w:rsidR="00B12F48" w:rsidRDefault="00B12F48" w:rsidP="006740E2"/>
    <w:p w:rsidR="003F3A43" w:rsidRPr="00362EFA" w:rsidRDefault="003F3A43" w:rsidP="003F3A43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 xml:space="preserve">Prepare a learning objective </w:t>
      </w:r>
      <w:r w:rsidR="002D4A60">
        <w:t>which</w:t>
      </w:r>
      <w:r>
        <w:t xml:space="preserve"> will form the outline of the c</w:t>
      </w:r>
      <w:r w:rsidR="002D4A60">
        <w:t>ontent of your activity and</w:t>
      </w:r>
      <w:r>
        <w:t xml:space="preserve"> link the l</w:t>
      </w:r>
      <w:r w:rsidR="002D4A60">
        <w:t>earner gap to the content.  Learning objectives</w:t>
      </w:r>
      <w:r>
        <w:t xml:space="preserve"> inform the learners of the result they can expect as participants in the activity.</w:t>
      </w:r>
    </w:p>
    <w:p w:rsidR="003F3A43" w:rsidRDefault="003F3A43" w:rsidP="003F3A43"/>
    <w:p w:rsidR="00D30AD1" w:rsidRDefault="00D30AD1" w:rsidP="00D30A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Types of Needs Assessment </w:t>
      </w:r>
      <w:r w:rsidR="00E16402">
        <w:rPr>
          <w:b/>
          <w:sz w:val="28"/>
          <w:szCs w:val="28"/>
          <w:u w:val="single"/>
        </w:rPr>
        <w:t>(Source)</w:t>
      </w:r>
    </w:p>
    <w:p w:rsidR="00D30AD1" w:rsidRPr="00D30AD1" w:rsidRDefault="00D30AD1" w:rsidP="00D30AD1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Inferred needs:</w:t>
      </w:r>
    </w:p>
    <w:p w:rsidR="00D30AD1" w:rsidRPr="00D30AD1" w:rsidRDefault="00D30AD1" w:rsidP="00D30AD1">
      <w:pPr>
        <w:pStyle w:val="ListParagraph"/>
        <w:numPr>
          <w:ilvl w:val="1"/>
          <w:numId w:val="7"/>
        </w:numPr>
        <w:rPr>
          <w:b/>
          <w:sz w:val="28"/>
          <w:szCs w:val="28"/>
          <w:u w:val="single"/>
        </w:rPr>
      </w:pPr>
      <w:r>
        <w:t>New methods of diagnosis or treatment</w:t>
      </w:r>
    </w:p>
    <w:p w:rsidR="00D30AD1" w:rsidRPr="00D30AD1" w:rsidRDefault="00D30AD1" w:rsidP="00D30AD1">
      <w:pPr>
        <w:pStyle w:val="ListParagraph"/>
        <w:numPr>
          <w:ilvl w:val="1"/>
          <w:numId w:val="7"/>
        </w:numPr>
        <w:rPr>
          <w:b/>
          <w:sz w:val="28"/>
          <w:szCs w:val="28"/>
          <w:u w:val="single"/>
        </w:rPr>
      </w:pPr>
      <w:r>
        <w:t>Availability of new medication(s) or indications(s)</w:t>
      </w:r>
    </w:p>
    <w:p w:rsidR="00D30AD1" w:rsidRPr="00D30AD1" w:rsidRDefault="00D30AD1" w:rsidP="00D30AD1">
      <w:pPr>
        <w:pStyle w:val="ListParagraph"/>
        <w:numPr>
          <w:ilvl w:val="1"/>
          <w:numId w:val="7"/>
        </w:numPr>
        <w:rPr>
          <w:b/>
          <w:sz w:val="28"/>
          <w:szCs w:val="28"/>
          <w:u w:val="single"/>
        </w:rPr>
      </w:pPr>
      <w:r>
        <w:t>Development of new technology</w:t>
      </w:r>
    </w:p>
    <w:p w:rsidR="00D30AD1" w:rsidRPr="00D30AD1" w:rsidRDefault="00D30AD1" w:rsidP="00D30AD1">
      <w:pPr>
        <w:pStyle w:val="ListParagraph"/>
        <w:numPr>
          <w:ilvl w:val="1"/>
          <w:numId w:val="7"/>
        </w:numPr>
        <w:rPr>
          <w:b/>
          <w:sz w:val="28"/>
          <w:szCs w:val="28"/>
          <w:u w:val="single"/>
        </w:rPr>
      </w:pPr>
      <w:r>
        <w:t>Input from experts regarding advances in medical knowledge</w:t>
      </w:r>
    </w:p>
    <w:p w:rsidR="00D30AD1" w:rsidRPr="00D30AD1" w:rsidRDefault="00D30AD1" w:rsidP="00D30AD1">
      <w:pPr>
        <w:pStyle w:val="ListParagraph"/>
        <w:numPr>
          <w:ilvl w:val="1"/>
          <w:numId w:val="7"/>
        </w:numPr>
        <w:rPr>
          <w:b/>
          <w:sz w:val="28"/>
          <w:szCs w:val="28"/>
          <w:u w:val="single"/>
        </w:rPr>
      </w:pPr>
      <w:r>
        <w:t>Acquisition of new facilities or equipment</w:t>
      </w:r>
    </w:p>
    <w:p w:rsidR="00D30AD1" w:rsidRPr="00D30AD1" w:rsidRDefault="00D30AD1" w:rsidP="00D30AD1">
      <w:pPr>
        <w:pStyle w:val="ListParagraph"/>
        <w:numPr>
          <w:ilvl w:val="1"/>
          <w:numId w:val="7"/>
        </w:numPr>
        <w:rPr>
          <w:b/>
          <w:sz w:val="28"/>
          <w:szCs w:val="28"/>
          <w:u w:val="single"/>
        </w:rPr>
      </w:pPr>
      <w:r>
        <w:t>Legislative, regulatory or organization changes effecting patient care</w:t>
      </w:r>
    </w:p>
    <w:p w:rsidR="00D30AD1" w:rsidRPr="00D30AD1" w:rsidRDefault="00D30AD1" w:rsidP="00D30AD1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D30AD1">
        <w:rPr>
          <w:b/>
          <w:sz w:val="28"/>
          <w:szCs w:val="28"/>
        </w:rPr>
        <w:t>Verbalized needs and interests</w:t>
      </w:r>
      <w:r>
        <w:t>:</w:t>
      </w:r>
    </w:p>
    <w:p w:rsidR="00D30AD1" w:rsidRPr="00D30AD1" w:rsidRDefault="00D30AD1" w:rsidP="00D30AD1">
      <w:pPr>
        <w:pStyle w:val="ListParagraph"/>
        <w:numPr>
          <w:ilvl w:val="1"/>
          <w:numId w:val="7"/>
        </w:numPr>
        <w:rPr>
          <w:b/>
          <w:sz w:val="28"/>
          <w:szCs w:val="28"/>
          <w:u w:val="single"/>
        </w:rPr>
      </w:pPr>
      <w:r>
        <w:t>Requests submitted on participants activity evaluation forms</w:t>
      </w:r>
    </w:p>
    <w:p w:rsidR="00D30AD1" w:rsidRPr="00D30AD1" w:rsidRDefault="00D30AD1" w:rsidP="00D30AD1">
      <w:pPr>
        <w:pStyle w:val="ListParagraph"/>
        <w:numPr>
          <w:ilvl w:val="1"/>
          <w:numId w:val="7"/>
        </w:numPr>
        <w:rPr>
          <w:b/>
          <w:sz w:val="28"/>
          <w:szCs w:val="28"/>
          <w:u w:val="single"/>
        </w:rPr>
      </w:pPr>
      <w:r>
        <w:t>Formal surveys of potential participants</w:t>
      </w:r>
    </w:p>
    <w:p w:rsidR="00D30AD1" w:rsidRPr="00D30AD1" w:rsidRDefault="00D30AD1" w:rsidP="00D30AD1">
      <w:pPr>
        <w:pStyle w:val="ListParagraph"/>
        <w:numPr>
          <w:ilvl w:val="1"/>
          <w:numId w:val="7"/>
        </w:numPr>
        <w:rPr>
          <w:b/>
          <w:sz w:val="28"/>
          <w:szCs w:val="28"/>
          <w:u w:val="single"/>
        </w:rPr>
      </w:pPr>
      <w:r>
        <w:t>Informal comments</w:t>
      </w:r>
    </w:p>
    <w:p w:rsidR="00D30AD1" w:rsidRPr="00D30AD1" w:rsidRDefault="00D30AD1" w:rsidP="00D30AD1">
      <w:pPr>
        <w:pStyle w:val="ListParagraph"/>
        <w:numPr>
          <w:ilvl w:val="1"/>
          <w:numId w:val="7"/>
        </w:numPr>
        <w:rPr>
          <w:b/>
          <w:sz w:val="28"/>
          <w:szCs w:val="28"/>
          <w:u w:val="single"/>
        </w:rPr>
      </w:pPr>
      <w:r>
        <w:t>Patient problem inventories compiled by potential participants</w:t>
      </w:r>
    </w:p>
    <w:p w:rsidR="00D30AD1" w:rsidRPr="00D30AD1" w:rsidRDefault="00D30AD1" w:rsidP="00D30AD1">
      <w:pPr>
        <w:pStyle w:val="ListParagraph"/>
        <w:numPr>
          <w:ilvl w:val="1"/>
          <w:numId w:val="7"/>
        </w:numPr>
        <w:rPr>
          <w:b/>
          <w:sz w:val="28"/>
          <w:szCs w:val="28"/>
          <w:u w:val="single"/>
        </w:rPr>
      </w:pPr>
      <w:r>
        <w:t>Consensus of faculty members within a department or service area</w:t>
      </w:r>
    </w:p>
    <w:p w:rsidR="00D30AD1" w:rsidRDefault="0048381E" w:rsidP="0048381E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48381E">
        <w:rPr>
          <w:b/>
          <w:sz w:val="28"/>
          <w:szCs w:val="28"/>
        </w:rPr>
        <w:t>Proven Needs</w:t>
      </w:r>
      <w:r>
        <w:rPr>
          <w:b/>
          <w:sz w:val="28"/>
          <w:szCs w:val="28"/>
        </w:rPr>
        <w:t xml:space="preserve"> (External Data Sources)</w:t>
      </w:r>
    </w:p>
    <w:p w:rsidR="0048381E" w:rsidRPr="0048381E" w:rsidRDefault="0048381E" w:rsidP="0048381E">
      <w:pPr>
        <w:pStyle w:val="ListParagraph"/>
        <w:numPr>
          <w:ilvl w:val="1"/>
          <w:numId w:val="8"/>
        </w:numPr>
        <w:rPr>
          <w:b/>
        </w:rPr>
      </w:pPr>
      <w:r w:rsidRPr="0048381E">
        <w:t>Epidemiological data</w:t>
      </w:r>
    </w:p>
    <w:p w:rsidR="0048381E" w:rsidRPr="0048381E" w:rsidRDefault="0048381E" w:rsidP="0048381E">
      <w:pPr>
        <w:pStyle w:val="ListParagraph"/>
        <w:numPr>
          <w:ilvl w:val="1"/>
          <w:numId w:val="8"/>
        </w:numPr>
        <w:rPr>
          <w:b/>
        </w:rPr>
      </w:pPr>
      <w:r w:rsidRPr="0048381E">
        <w:t>Quality assurance/audit data</w:t>
      </w:r>
    </w:p>
    <w:p w:rsidR="0048381E" w:rsidRPr="0048381E" w:rsidRDefault="0048381E" w:rsidP="0048381E">
      <w:pPr>
        <w:pStyle w:val="ListParagraph"/>
        <w:numPr>
          <w:ilvl w:val="1"/>
          <w:numId w:val="8"/>
        </w:numPr>
        <w:rPr>
          <w:b/>
        </w:rPr>
      </w:pPr>
      <w:r w:rsidRPr="0048381E">
        <w:t>Re-credential review</w:t>
      </w:r>
    </w:p>
    <w:p w:rsidR="0048381E" w:rsidRPr="0048381E" w:rsidRDefault="0048381E" w:rsidP="0048381E">
      <w:pPr>
        <w:pStyle w:val="ListParagraph"/>
        <w:numPr>
          <w:ilvl w:val="1"/>
          <w:numId w:val="8"/>
        </w:numPr>
        <w:rPr>
          <w:b/>
        </w:rPr>
      </w:pPr>
      <w:r w:rsidRPr="0048381E">
        <w:t>Morbidity/Mortality</w:t>
      </w:r>
    </w:p>
    <w:p w:rsidR="0048381E" w:rsidRPr="0048381E" w:rsidRDefault="0048381E" w:rsidP="0048381E">
      <w:pPr>
        <w:pStyle w:val="ListParagraph"/>
        <w:numPr>
          <w:ilvl w:val="1"/>
          <w:numId w:val="8"/>
        </w:numPr>
        <w:rPr>
          <w:b/>
        </w:rPr>
      </w:pPr>
      <w:r w:rsidRPr="0048381E">
        <w:t>Statistics on infection control data</w:t>
      </w:r>
    </w:p>
    <w:p w:rsidR="0048381E" w:rsidRPr="0048381E" w:rsidRDefault="0048381E" w:rsidP="0048381E">
      <w:pPr>
        <w:pStyle w:val="ListParagraph"/>
        <w:numPr>
          <w:ilvl w:val="1"/>
          <w:numId w:val="8"/>
        </w:numPr>
        <w:rPr>
          <w:b/>
        </w:rPr>
      </w:pPr>
      <w:r w:rsidRPr="0048381E">
        <w:t>Surgical procedures statistics</w:t>
      </w:r>
    </w:p>
    <w:p w:rsidR="0048381E" w:rsidRPr="0048381E" w:rsidRDefault="0048381E" w:rsidP="0048381E">
      <w:pPr>
        <w:pStyle w:val="ListParagraph"/>
        <w:numPr>
          <w:ilvl w:val="1"/>
          <w:numId w:val="8"/>
        </w:numPr>
        <w:rPr>
          <w:b/>
        </w:rPr>
      </w:pPr>
      <w:r w:rsidRPr="0048381E">
        <w:t>National Guidelines, Best Practices</w:t>
      </w:r>
    </w:p>
    <w:p w:rsidR="0048381E" w:rsidRPr="0048381E" w:rsidRDefault="0048381E" w:rsidP="0048381E">
      <w:pPr>
        <w:pStyle w:val="ListParagraph"/>
        <w:numPr>
          <w:ilvl w:val="1"/>
          <w:numId w:val="8"/>
        </w:numPr>
        <w:rPr>
          <w:b/>
        </w:rPr>
      </w:pPr>
      <w:r w:rsidRPr="0048381E">
        <w:t>Professional society requirements</w:t>
      </w:r>
    </w:p>
    <w:p w:rsidR="0048381E" w:rsidRPr="0048381E" w:rsidRDefault="0048381E" w:rsidP="0048381E">
      <w:pPr>
        <w:pStyle w:val="ListParagraph"/>
        <w:numPr>
          <w:ilvl w:val="1"/>
          <w:numId w:val="8"/>
        </w:numPr>
        <w:rPr>
          <w:b/>
        </w:rPr>
      </w:pPr>
      <w:r w:rsidRPr="0048381E">
        <w:t>Journal articles/literature citations</w:t>
      </w:r>
    </w:p>
    <w:p w:rsidR="0048381E" w:rsidRPr="0048381E" w:rsidRDefault="0048381E" w:rsidP="0048381E">
      <w:pPr>
        <w:pStyle w:val="ListParagraph"/>
        <w:numPr>
          <w:ilvl w:val="1"/>
          <w:numId w:val="8"/>
        </w:numPr>
        <w:rPr>
          <w:b/>
        </w:rPr>
      </w:pPr>
      <w:r w:rsidRPr="0048381E">
        <w:t>New Media</w:t>
      </w:r>
    </w:p>
    <w:p w:rsidR="00D30AD1" w:rsidRPr="00D30AD1" w:rsidRDefault="00D30AD1" w:rsidP="00D30AD1">
      <w:pPr>
        <w:pStyle w:val="ListParagraph"/>
        <w:ind w:left="1080"/>
        <w:rPr>
          <w:b/>
          <w:sz w:val="28"/>
          <w:szCs w:val="28"/>
          <w:u w:val="single"/>
        </w:rPr>
      </w:pPr>
    </w:p>
    <w:p w:rsidR="00EC345E" w:rsidRDefault="00EC345E" w:rsidP="00D30AD1">
      <w:pPr>
        <w:rPr>
          <w:b/>
          <w:sz w:val="28"/>
          <w:szCs w:val="28"/>
          <w:u w:val="single"/>
        </w:rPr>
      </w:pPr>
    </w:p>
    <w:p w:rsidR="00D30AD1" w:rsidRDefault="00D30AD1" w:rsidP="00D30AD1">
      <w:pPr>
        <w:rPr>
          <w:b/>
          <w:sz w:val="28"/>
          <w:szCs w:val="28"/>
          <w:u w:val="single"/>
        </w:rPr>
      </w:pPr>
    </w:p>
    <w:p w:rsidR="00D30AD1" w:rsidRPr="00D30AD1" w:rsidRDefault="00D30AD1" w:rsidP="00D30AD1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  <w:sectPr w:rsidR="00D30AD1" w:rsidRPr="00D30AD1" w:rsidSect="001A32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345E" w:rsidRDefault="00EC345E" w:rsidP="006740E2"/>
    <w:sectPr w:rsidR="00EC345E" w:rsidSect="00EC345E">
      <w:type w:val="continuous"/>
      <w:pgSz w:w="12240" w:h="15840"/>
      <w:pgMar w:top="99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71" w:rsidRDefault="00006471" w:rsidP="00006471">
      <w:r>
        <w:separator/>
      </w:r>
    </w:p>
  </w:endnote>
  <w:endnote w:type="continuationSeparator" w:id="0">
    <w:p w:rsidR="00006471" w:rsidRDefault="00006471" w:rsidP="000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71" w:rsidRDefault="00006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71" w:rsidRDefault="00006471">
    <w:pPr>
      <w:pStyle w:val="Footer"/>
    </w:pPr>
    <w:r>
      <w:t xml:space="preserve">October </w:t>
    </w:r>
    <w:r>
      <w:t>2016</w:t>
    </w:r>
    <w:bookmarkStart w:id="0" w:name="_GoBack"/>
    <w:bookmarkEnd w:id="0"/>
  </w:p>
  <w:p w:rsidR="00006471" w:rsidRDefault="000064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71" w:rsidRDefault="00006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71" w:rsidRDefault="00006471" w:rsidP="00006471">
      <w:r>
        <w:separator/>
      </w:r>
    </w:p>
  </w:footnote>
  <w:footnote w:type="continuationSeparator" w:id="0">
    <w:p w:rsidR="00006471" w:rsidRDefault="00006471" w:rsidP="00006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71" w:rsidRDefault="00006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71" w:rsidRDefault="000064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71" w:rsidRDefault="00006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4AE"/>
    <w:multiLevelType w:val="hybridMultilevel"/>
    <w:tmpl w:val="75CED932"/>
    <w:lvl w:ilvl="0" w:tplc="EDC8D8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232E"/>
    <w:multiLevelType w:val="hybridMultilevel"/>
    <w:tmpl w:val="8780DCF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5E3679"/>
    <w:multiLevelType w:val="hybridMultilevel"/>
    <w:tmpl w:val="DC7AF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C7047"/>
    <w:multiLevelType w:val="hybridMultilevel"/>
    <w:tmpl w:val="6DB411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45DA3"/>
    <w:multiLevelType w:val="hybridMultilevel"/>
    <w:tmpl w:val="02CEF2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530EB"/>
    <w:multiLevelType w:val="hybridMultilevel"/>
    <w:tmpl w:val="6004E030"/>
    <w:lvl w:ilvl="0" w:tplc="CCA805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704F7"/>
    <w:multiLevelType w:val="hybridMultilevel"/>
    <w:tmpl w:val="02421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726AB"/>
    <w:multiLevelType w:val="hybridMultilevel"/>
    <w:tmpl w:val="5B16D5C4"/>
    <w:lvl w:ilvl="0" w:tplc="CCA805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E2"/>
    <w:rsid w:val="00006471"/>
    <w:rsid w:val="00043AA2"/>
    <w:rsid w:val="001A3277"/>
    <w:rsid w:val="00275EFB"/>
    <w:rsid w:val="002D4A60"/>
    <w:rsid w:val="00347AEA"/>
    <w:rsid w:val="00362EFA"/>
    <w:rsid w:val="003F3A43"/>
    <w:rsid w:val="00415E3D"/>
    <w:rsid w:val="0048381E"/>
    <w:rsid w:val="004D6660"/>
    <w:rsid w:val="00505038"/>
    <w:rsid w:val="006740E2"/>
    <w:rsid w:val="007A4D41"/>
    <w:rsid w:val="007B51A4"/>
    <w:rsid w:val="00873744"/>
    <w:rsid w:val="008A477D"/>
    <w:rsid w:val="00B12F48"/>
    <w:rsid w:val="00B466FF"/>
    <w:rsid w:val="00BB41A7"/>
    <w:rsid w:val="00D30AD1"/>
    <w:rsid w:val="00E16402"/>
    <w:rsid w:val="00EB30AD"/>
    <w:rsid w:val="00EC345E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30AD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eastAsia="Times New Roman" w:hAnsi="Times" w:cs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D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B30AD"/>
    <w:rPr>
      <w:rFonts w:ascii="Times" w:eastAsia="Times New Roman" w:hAnsi="Times" w:cs="Times New Roman"/>
      <w:b/>
      <w:sz w:val="36"/>
      <w:szCs w:val="20"/>
      <w:u w:val="single"/>
      <w:shd w:val="pct30" w:color="auto" w:fill="auto"/>
    </w:rPr>
  </w:style>
  <w:style w:type="paragraph" w:styleId="Subtitle">
    <w:name w:val="Subtitle"/>
    <w:basedOn w:val="Normal"/>
    <w:link w:val="SubtitleChar"/>
    <w:qFormat/>
    <w:rsid w:val="00EB30A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B30A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471"/>
  </w:style>
  <w:style w:type="paragraph" w:styleId="Footer">
    <w:name w:val="footer"/>
    <w:basedOn w:val="Normal"/>
    <w:link w:val="FooterChar"/>
    <w:uiPriority w:val="99"/>
    <w:unhideWhenUsed/>
    <w:rsid w:val="00006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30AD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eastAsia="Times New Roman" w:hAnsi="Times" w:cs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D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B30AD"/>
    <w:rPr>
      <w:rFonts w:ascii="Times" w:eastAsia="Times New Roman" w:hAnsi="Times" w:cs="Times New Roman"/>
      <w:b/>
      <w:sz w:val="36"/>
      <w:szCs w:val="20"/>
      <w:u w:val="single"/>
      <w:shd w:val="pct30" w:color="auto" w:fill="auto"/>
    </w:rPr>
  </w:style>
  <w:style w:type="paragraph" w:styleId="Subtitle">
    <w:name w:val="Subtitle"/>
    <w:basedOn w:val="Normal"/>
    <w:link w:val="SubtitleChar"/>
    <w:qFormat/>
    <w:rsid w:val="00EB30A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B30A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471"/>
  </w:style>
  <w:style w:type="paragraph" w:styleId="Footer">
    <w:name w:val="footer"/>
    <w:basedOn w:val="Normal"/>
    <w:link w:val="FooterChar"/>
    <w:uiPriority w:val="99"/>
    <w:unhideWhenUsed/>
    <w:rsid w:val="00006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WCMS, Inc.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Foy</dc:creator>
  <cp:lastModifiedBy>Kalli Voulgaris</cp:lastModifiedBy>
  <cp:revision>12</cp:revision>
  <cp:lastPrinted>2016-09-19T14:58:00Z</cp:lastPrinted>
  <dcterms:created xsi:type="dcterms:W3CDTF">2015-11-02T19:51:00Z</dcterms:created>
  <dcterms:modified xsi:type="dcterms:W3CDTF">2016-10-12T15:19:00Z</dcterms:modified>
</cp:coreProperties>
</file>